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0C334" w14:textId="2FC49ED3" w:rsidR="00742B12" w:rsidRPr="007A36D7" w:rsidRDefault="00EA0A8A">
      <w:pPr>
        <w:spacing w:line="480" w:lineRule="auto"/>
        <w:jc w:val="left"/>
        <w:rPr>
          <w:rFonts w:ascii="Times New Roman" w:hAnsi="Times New Roman" w:cs="Times New Roman"/>
        </w:rPr>
      </w:pPr>
      <w:r w:rsidRPr="007A36D7">
        <w:rPr>
          <w:rFonts w:ascii="Times New Roman" w:hAnsi="Times New Roman" w:cs="Times New Roman" w:hint="eastAsia"/>
          <w:b/>
        </w:rPr>
        <w:t xml:space="preserve">Figure S1. </w:t>
      </w:r>
      <w:r w:rsidRPr="007A36D7">
        <w:rPr>
          <w:rFonts w:ascii="Times New Roman" w:hAnsi="Times New Roman" w:cs="Times New Roman"/>
        </w:rPr>
        <w:t xml:space="preserve">Schematic model of the </w:t>
      </w:r>
      <w:r w:rsidRPr="007A36D7">
        <w:rPr>
          <w:rFonts w:ascii="Times New Roman" w:hAnsi="Times New Roman" w:cs="Times New Roman"/>
          <w:i/>
        </w:rPr>
        <w:t xml:space="preserve">in vitro </w:t>
      </w:r>
      <w:r w:rsidRPr="007A36D7">
        <w:rPr>
          <w:rFonts w:ascii="Times New Roman" w:hAnsi="Times New Roman" w:cs="Times New Roman"/>
        </w:rPr>
        <w:t xml:space="preserve">migration assay. Mixed glial cell culture was prepared from newborn wild-type mice. The mixed glial cells were seeded in the lower transwell chambers with or without stimulation (IL-1α, C1q, TNF-α, LPS) and IGU. Magnetically separated </w:t>
      </w:r>
      <w:r w:rsidRPr="007A36D7">
        <w:rPr>
          <w:rFonts w:ascii="Times New Roman" w:hAnsi="Times New Roman" w:cs="Times New Roman" w:hint="eastAsia"/>
        </w:rPr>
        <w:t>CD4</w:t>
      </w:r>
      <w:r w:rsidRPr="007A36D7">
        <w:rPr>
          <w:rFonts w:ascii="Times New Roman" w:hAnsi="Times New Roman" w:cs="Times New Roman"/>
          <w:vertAlign w:val="superscript"/>
        </w:rPr>
        <w:t>+</w:t>
      </w:r>
      <w:r w:rsidRPr="007A36D7">
        <w:rPr>
          <w:rFonts w:ascii="Times New Roman" w:hAnsi="Times New Roman" w:cs="Times New Roman"/>
        </w:rPr>
        <w:t xml:space="preserve"> T cells from acute EAE mice were loaded in the upper chamber. After 24 h of incubation, </w:t>
      </w:r>
      <w:r w:rsidRPr="007A36D7">
        <w:rPr>
          <w:rFonts w:ascii="Times New Roman" w:hAnsi="Times New Roman" w:cs="Times New Roman" w:hint="eastAsia"/>
        </w:rPr>
        <w:t>CD4</w:t>
      </w:r>
      <w:r w:rsidRPr="007A36D7">
        <w:rPr>
          <w:rFonts w:ascii="Times New Roman" w:hAnsi="Times New Roman" w:cs="Times New Roman"/>
          <w:vertAlign w:val="superscript"/>
        </w:rPr>
        <w:t>+</w:t>
      </w:r>
      <w:r w:rsidRPr="007A36D7">
        <w:rPr>
          <w:rFonts w:ascii="Times New Roman" w:hAnsi="Times New Roman" w:cs="Times New Roman"/>
        </w:rPr>
        <w:t xml:space="preserve"> T cells that migrated to the lower chamber were counted. </w:t>
      </w:r>
    </w:p>
    <w:p w14:paraId="582D9AE6" w14:textId="77777777" w:rsidR="00742B12" w:rsidRPr="007A36D7" w:rsidRDefault="00742B12">
      <w:pPr>
        <w:spacing w:line="480" w:lineRule="auto"/>
        <w:jc w:val="left"/>
        <w:rPr>
          <w:rFonts w:ascii="Times New Roman" w:hAnsi="Times New Roman" w:cs="Times New Roman"/>
        </w:rPr>
      </w:pPr>
    </w:p>
    <w:p w14:paraId="689C50CE" w14:textId="250DCCF6" w:rsidR="00742B12" w:rsidRPr="007A36D7" w:rsidRDefault="00EA0A8A">
      <w:pPr>
        <w:spacing w:line="480" w:lineRule="auto"/>
        <w:jc w:val="left"/>
        <w:rPr>
          <w:rFonts w:ascii="Times New Roman" w:eastAsia="ArialMT" w:hAnsi="Times New Roman" w:cs="Times New Roman"/>
          <w:kern w:val="0"/>
        </w:rPr>
      </w:pPr>
      <w:r w:rsidRPr="007A36D7">
        <w:rPr>
          <w:rFonts w:ascii="Times New Roman" w:hAnsi="Times New Roman" w:cs="Times New Roman"/>
          <w:b/>
        </w:rPr>
        <w:t xml:space="preserve">Figure S2. </w:t>
      </w:r>
      <w:r w:rsidRPr="007A36D7">
        <w:rPr>
          <w:rFonts w:ascii="Times New Roman" w:hAnsi="Times New Roman" w:cs="Times New Roman"/>
        </w:rPr>
        <w:t>Magnetically separated CD4</w:t>
      </w:r>
      <w:r w:rsidRPr="007A36D7">
        <w:rPr>
          <w:rFonts w:ascii="Times New Roman" w:hAnsi="Times New Roman" w:cs="Times New Roman"/>
          <w:vertAlign w:val="superscript"/>
        </w:rPr>
        <w:t>+</w:t>
      </w:r>
      <w:r w:rsidRPr="007A36D7">
        <w:rPr>
          <w:rFonts w:ascii="Times New Roman" w:hAnsi="Times New Roman" w:cs="Times New Roman"/>
        </w:rPr>
        <w:t xml:space="preserve"> T cells were incubated with IGU or vehicle for 24 h (</w:t>
      </w:r>
      <w:r w:rsidRPr="007A36D7">
        <w:rPr>
          <w:rFonts w:ascii="Times New Roman" w:hAnsi="Times New Roman" w:cs="Times New Roman"/>
          <w:i/>
        </w:rPr>
        <w:t>n</w:t>
      </w:r>
      <w:r w:rsidRPr="007A36D7">
        <w:rPr>
          <w:rFonts w:ascii="Times New Roman" w:hAnsi="Times New Roman" w:cs="Times New Roman"/>
        </w:rPr>
        <w:t xml:space="preserve"> = 3 per group). Statistical analyses w</w:t>
      </w:r>
      <w:r w:rsidRPr="007A36D7">
        <w:rPr>
          <w:rFonts w:ascii="Times New Roman" w:hAnsi="Times New Roman" w:cs="Times New Roman" w:hint="eastAsia"/>
        </w:rPr>
        <w:t>ere</w:t>
      </w:r>
      <w:r w:rsidRPr="007A36D7">
        <w:rPr>
          <w:rFonts w:ascii="Times New Roman" w:hAnsi="Times New Roman" w:cs="Times New Roman"/>
        </w:rPr>
        <w:t xml:space="preserve"> performed using an unpaired </w:t>
      </w:r>
      <w:r w:rsidRPr="007A36D7">
        <w:rPr>
          <w:rFonts w:ascii="Times New Roman" w:hAnsi="Times New Roman" w:cs="Times New Roman"/>
          <w:i/>
        </w:rPr>
        <w:t>t</w:t>
      </w:r>
      <w:r w:rsidRPr="007A36D7">
        <w:rPr>
          <w:rFonts w:ascii="Times New Roman" w:hAnsi="Times New Roman" w:cs="Times New Roman"/>
        </w:rPr>
        <w:t xml:space="preserve">-test. </w:t>
      </w:r>
      <w:r w:rsidRPr="007A36D7">
        <w:rPr>
          <w:rFonts w:ascii="Times New Roman" w:eastAsia="ArialMT" w:hAnsi="Times New Roman" w:cs="Times New Roman"/>
          <w:kern w:val="0"/>
        </w:rPr>
        <w:t>No significant differences were found between the groups.</w:t>
      </w:r>
    </w:p>
    <w:p w14:paraId="4FD4D437" w14:textId="77777777" w:rsidR="00742B12" w:rsidRPr="007A36D7" w:rsidRDefault="00742B12">
      <w:pPr>
        <w:spacing w:line="480" w:lineRule="auto"/>
        <w:jc w:val="left"/>
        <w:rPr>
          <w:rFonts w:ascii="Times New Roman" w:hAnsi="Times New Roman" w:cs="Times New Roman"/>
        </w:rPr>
      </w:pPr>
    </w:p>
    <w:p w14:paraId="32DE129B" w14:textId="77777777" w:rsidR="00742B12" w:rsidRPr="007A36D7" w:rsidRDefault="00EA0A8A">
      <w:pPr>
        <w:autoSpaceDE w:val="0"/>
        <w:autoSpaceDN w:val="0"/>
        <w:adjustRightInd w:val="0"/>
        <w:spacing w:line="480" w:lineRule="auto"/>
        <w:jc w:val="left"/>
        <w:rPr>
          <w:rFonts w:ascii="Times New Roman" w:eastAsia="ArialMT" w:hAnsi="Times New Roman" w:cs="Times New Roman"/>
          <w:kern w:val="0"/>
        </w:rPr>
      </w:pPr>
      <w:r w:rsidRPr="007A36D7">
        <w:rPr>
          <w:rFonts w:ascii="Times New Roman" w:hAnsi="Times New Roman" w:cs="Times New Roman"/>
          <w:b/>
        </w:rPr>
        <w:t xml:space="preserve">Figure S3. </w:t>
      </w:r>
      <w:r w:rsidRPr="007A36D7">
        <w:rPr>
          <w:rFonts w:ascii="Times New Roman" w:eastAsia="ArialMT" w:hAnsi="Times New Roman" w:cs="Times New Roman"/>
          <w:kern w:val="0"/>
        </w:rPr>
        <w:t xml:space="preserve">Splenic T cell proliferation assayed by bromodeoxyuridine (BrdU) </w:t>
      </w:r>
    </w:p>
    <w:p w14:paraId="0C7C88DF" w14:textId="2B5DB49E" w:rsidR="00742B12" w:rsidRPr="007A36D7" w:rsidRDefault="00EA0A8A">
      <w:pPr>
        <w:autoSpaceDE w:val="0"/>
        <w:autoSpaceDN w:val="0"/>
        <w:adjustRightInd w:val="0"/>
        <w:spacing w:line="480" w:lineRule="auto"/>
        <w:jc w:val="left"/>
        <w:rPr>
          <w:rFonts w:ascii="Times New Roman" w:eastAsia="ArialMT" w:hAnsi="Times New Roman" w:cs="Times New Roman"/>
          <w:kern w:val="0"/>
        </w:rPr>
      </w:pPr>
      <w:r w:rsidRPr="007A36D7">
        <w:rPr>
          <w:rFonts w:ascii="Times New Roman" w:eastAsia="ArialMT" w:hAnsi="Times New Roman" w:cs="Times New Roman"/>
          <w:kern w:val="0"/>
        </w:rPr>
        <w:t xml:space="preserve">incorporation at different </w:t>
      </w:r>
      <w:r w:rsidRPr="007A36D7">
        <w:rPr>
          <w:rFonts w:ascii="Times New Roman" w:hAnsi="Times New Roman" w:cs="Times New Roman"/>
          <w:bCs/>
          <w:color w:val="000000" w:themeColor="text1"/>
          <w:kern w:val="0"/>
        </w:rPr>
        <w:t>myelin oligodendrocyte glycoprotein peptide</w:t>
      </w:r>
      <w:r w:rsidRPr="007A36D7">
        <w:rPr>
          <w:rFonts w:ascii="Times New Roman" w:eastAsia="ArialMT" w:hAnsi="Times New Roman" w:cs="Times New Roman"/>
          <w:kern w:val="0"/>
        </w:rPr>
        <w:t xml:space="preserve"> concentrations (0, 2.5, 12.5, 25 µg/ml) in IGU-treated and vehicle-treated mice </w:t>
      </w:r>
      <w:r w:rsidRPr="007A36D7">
        <w:rPr>
          <w:rFonts w:ascii="Times New Roman" w:hAnsi="Times New Roman" w:cs="Times New Roman"/>
        </w:rPr>
        <w:t>(</w:t>
      </w:r>
      <w:r w:rsidRPr="007A36D7">
        <w:rPr>
          <w:rFonts w:ascii="Times New Roman" w:hAnsi="Times New Roman" w:cs="Times New Roman"/>
          <w:i/>
        </w:rPr>
        <w:t>n</w:t>
      </w:r>
      <w:r w:rsidRPr="007A36D7">
        <w:rPr>
          <w:rFonts w:ascii="Times New Roman" w:hAnsi="Times New Roman" w:cs="Times New Roman"/>
        </w:rPr>
        <w:t xml:space="preserve"> = 3 per group)</w:t>
      </w:r>
      <w:r w:rsidRPr="007A36D7">
        <w:rPr>
          <w:rFonts w:ascii="Times New Roman" w:eastAsia="ArialMT" w:hAnsi="Times New Roman" w:cs="Times New Roman"/>
          <w:kern w:val="0"/>
        </w:rPr>
        <w:t xml:space="preserve">. Statistical analyses were performed by one-way ANOVA. No significant differences were found between the groups. </w:t>
      </w:r>
    </w:p>
    <w:p w14:paraId="209B8E35" w14:textId="77777777" w:rsidR="00742B12" w:rsidRPr="007A36D7" w:rsidRDefault="00742B12">
      <w:pPr>
        <w:spacing w:line="480" w:lineRule="auto"/>
        <w:jc w:val="left"/>
        <w:rPr>
          <w:rFonts w:ascii="Times New Roman" w:eastAsia="ArialMT" w:hAnsi="Times New Roman" w:cs="Times New Roman"/>
          <w:kern w:val="0"/>
        </w:rPr>
      </w:pPr>
    </w:p>
    <w:p w14:paraId="0AAB4DC4" w14:textId="43D50EEA" w:rsidR="00742B12" w:rsidRPr="007A36D7" w:rsidRDefault="00EA0A8A">
      <w:pPr>
        <w:spacing w:line="480" w:lineRule="auto"/>
        <w:jc w:val="left"/>
        <w:rPr>
          <w:rFonts w:ascii="Times New Roman" w:hAnsi="Times New Roman" w:cs="Times New Roman"/>
        </w:rPr>
      </w:pPr>
      <w:r w:rsidRPr="007A36D7">
        <w:rPr>
          <w:rFonts w:ascii="Times New Roman" w:hAnsi="Times New Roman" w:cs="Times New Roman" w:hint="eastAsia"/>
          <w:b/>
        </w:rPr>
        <w:t>Figure S</w:t>
      </w:r>
      <w:r w:rsidRPr="007A36D7">
        <w:rPr>
          <w:rFonts w:ascii="Times New Roman" w:hAnsi="Times New Roman" w:cs="Times New Roman"/>
          <w:b/>
        </w:rPr>
        <w:t>4</w:t>
      </w:r>
      <w:r w:rsidRPr="007A36D7">
        <w:rPr>
          <w:rFonts w:ascii="Times New Roman" w:hAnsi="Times New Roman" w:cs="Times New Roman" w:hint="eastAsia"/>
          <w:b/>
        </w:rPr>
        <w:t xml:space="preserve">. </w:t>
      </w:r>
      <w:r w:rsidRPr="007A36D7">
        <w:rPr>
          <w:rFonts w:ascii="Times New Roman" w:hAnsi="Times New Roman" w:cs="Times New Roman"/>
        </w:rPr>
        <w:t xml:space="preserve">Schema for the mechanistic function of IGU in the amelioration of glial </w:t>
      </w:r>
      <w:r w:rsidRPr="007A36D7">
        <w:rPr>
          <w:rFonts w:ascii="Times New Roman" w:hAnsi="Times New Roman" w:cs="Times New Roman"/>
        </w:rPr>
        <w:lastRenderedPageBreak/>
        <w:t xml:space="preserve">inflammation in pEAE lesions. At the beginning of multiple sclerosis, Th17 cells infiltrate through the blood-brain barrier from blood vessels {1}. Th17 cells induce a reactive M1-like phenotype in microglia {2}. Reactive M1-like microglia induce an A1 phenotype in astroglia {3}. Cytokines/chemokines, such as IL-6 and CCL2, secreted from glial cells induce Th17 cell migration {4}. </w:t>
      </w:r>
      <w:r w:rsidRPr="007A36D7">
        <w:t xml:space="preserve">Oligodendroglia-specific Cx47-inducible conditional knockout </w:t>
      </w:r>
      <w:r w:rsidRPr="007A36D7">
        <w:rPr>
          <w:rFonts w:ascii="Times New Roman" w:hAnsi="Times New Roman" w:cs="Times New Roman"/>
        </w:rPr>
        <w:t>(</w:t>
      </w:r>
      <w:r w:rsidRPr="007A36D7">
        <w:rPr>
          <w:rFonts w:ascii="Times New Roman" w:hAnsi="Times New Roman" w:cs="Times New Roman"/>
          <w:i/>
        </w:rPr>
        <w:t>Cx47</w:t>
      </w:r>
      <w:r w:rsidRPr="007A36D7">
        <w:rPr>
          <w:rFonts w:ascii="Times New Roman" w:hAnsi="Times New Roman" w:cs="Times New Roman"/>
        </w:rPr>
        <w:t xml:space="preserve"> icKO) increased A1 astroglia and M1-like microglia</w:t>
      </w:r>
      <w:r w:rsidRPr="007A36D7">
        <w:rPr>
          <w:rFonts w:ascii="Times New Roman" w:hAnsi="Times New Roman" w:cs="Times New Roman" w:hint="eastAsia"/>
        </w:rPr>
        <w:t xml:space="preserve"> </w:t>
      </w:r>
      <w:r w:rsidRPr="007A36D7">
        <w:rPr>
          <w:rFonts w:ascii="Times New Roman" w:hAnsi="Times New Roman" w:cs="Times New Roman"/>
        </w:rPr>
        <w:t xml:space="preserve">during both the acute and chronic phases. Moreover, Th17 cell migration was increased by </w:t>
      </w:r>
      <w:r w:rsidRPr="007A36D7">
        <w:rPr>
          <w:rFonts w:ascii="Times New Roman" w:hAnsi="Times New Roman" w:cs="Times New Roman"/>
          <w:i/>
        </w:rPr>
        <w:t>Cx47</w:t>
      </w:r>
      <w:r w:rsidRPr="007A36D7">
        <w:rPr>
          <w:rFonts w:ascii="Times New Roman" w:hAnsi="Times New Roman" w:cs="Times New Roman"/>
        </w:rPr>
        <w:t xml:space="preserve"> icKO. IGU inhibited activated glial inflammation and cytokine/chemokine release, in particular IL-6 and CCL2 release {5}, which decreased Th17 cell migration into the CNS {6}. IGU: iguratimod.</w:t>
      </w:r>
    </w:p>
    <w:p w14:paraId="68D308C1" w14:textId="77777777" w:rsidR="00742B12" w:rsidRPr="007A36D7" w:rsidRDefault="00742B12">
      <w:pPr>
        <w:spacing w:line="480" w:lineRule="auto"/>
        <w:jc w:val="left"/>
        <w:rPr>
          <w:rFonts w:ascii="Times New Roman" w:hAnsi="Times New Roman" w:cs="Times New Roman"/>
        </w:rPr>
      </w:pPr>
    </w:p>
    <w:p w14:paraId="0303C8EE" w14:textId="31B01FA1" w:rsidR="00742B12" w:rsidRPr="007A36D7" w:rsidRDefault="00EA0A8A">
      <w:pPr>
        <w:spacing w:line="480" w:lineRule="auto"/>
        <w:jc w:val="left"/>
        <w:rPr>
          <w:rFonts w:ascii="Times New Roman" w:eastAsia="ArialMT" w:hAnsi="Times New Roman" w:cs="Times New Roman"/>
          <w:kern w:val="0"/>
        </w:rPr>
      </w:pPr>
      <w:r w:rsidRPr="007A36D7">
        <w:rPr>
          <w:rFonts w:ascii="Times New Roman" w:eastAsia="ArialMT" w:hAnsi="Times New Roman" w:cs="Times New Roman" w:hint="eastAsia"/>
          <w:b/>
          <w:kern w:val="0"/>
        </w:rPr>
        <w:t xml:space="preserve">Figure S5. </w:t>
      </w:r>
      <w:r w:rsidRPr="007A36D7">
        <w:rPr>
          <w:rFonts w:ascii="Times New Roman" w:eastAsia="ArialMT" w:hAnsi="Times New Roman" w:cs="Times New Roman"/>
          <w:kern w:val="0"/>
        </w:rPr>
        <w:t>Example of</w:t>
      </w:r>
      <w:r w:rsidRPr="007A36D7">
        <w:rPr>
          <w:rFonts w:ascii="Times New Roman" w:eastAsia="ArialMT" w:hAnsi="Times New Roman" w:cs="Times New Roman"/>
          <w:b/>
          <w:kern w:val="0"/>
        </w:rPr>
        <w:t xml:space="preserve"> </w:t>
      </w:r>
      <w:r w:rsidRPr="007A36D7">
        <w:rPr>
          <w:rFonts w:ascii="Times New Roman" w:hAnsi="Times New Roman" w:cs="Times New Roman"/>
        </w:rPr>
        <w:t>quantification of immunohistochemically stained images.</w:t>
      </w:r>
      <w:r w:rsidRPr="007A36D7">
        <w:rPr>
          <w:rFonts w:ascii="Times New Roman" w:hAnsi="Times New Roman" w:cs="Times New Roman"/>
          <w:b/>
        </w:rPr>
        <w:t xml:space="preserve"> </w:t>
      </w:r>
      <w:r w:rsidRPr="007A36D7">
        <w:rPr>
          <w:rFonts w:ascii="Times New Roman" w:hAnsi="Times New Roman" w:cs="Times New Roman" w:hint="eastAsia"/>
          <w:b/>
        </w:rPr>
        <w:t>(</w:t>
      </w:r>
      <w:r w:rsidRPr="007A36D7">
        <w:rPr>
          <w:rFonts w:ascii="Times New Roman" w:hAnsi="Times New Roman" w:cs="Times New Roman"/>
          <w:b/>
        </w:rPr>
        <w:t>a)</w:t>
      </w:r>
      <w:r w:rsidRPr="007A36D7">
        <w:rPr>
          <w:rFonts w:ascii="Times New Roman" w:hAnsi="Times New Roman" w:cs="Times New Roman"/>
        </w:rPr>
        <w:t xml:space="preserve"> Transverse spinal cord sections were divided by horizontal and vertical lines passing through the central canal (solid lines), and the central gray matter area was manually excluded to define the white matter region of interest (the area encircled by a dashed line). The positive-stained areas in this region were measured. This method was used for immunostaining analyses, except for Iba-1 staining.</w:t>
      </w:r>
      <w:r w:rsidRPr="007A36D7">
        <w:rPr>
          <w:rFonts w:ascii="Times New Roman" w:hAnsi="Times New Roman" w:cs="Times New Roman"/>
          <w:b/>
        </w:rPr>
        <w:t xml:space="preserve"> (b) </w:t>
      </w:r>
      <w:r w:rsidRPr="007A36D7">
        <w:rPr>
          <w:rFonts w:ascii="Times New Roman" w:hAnsi="Times New Roman" w:cs="Times New Roman"/>
        </w:rPr>
        <w:t xml:space="preserve">Transverse spinal cord sections were divided by horizontal and vertical lines passing through the central canal (solid </w:t>
      </w:r>
      <w:r w:rsidRPr="007A36D7">
        <w:rPr>
          <w:rFonts w:ascii="Times New Roman" w:hAnsi="Times New Roman" w:cs="Times New Roman"/>
        </w:rPr>
        <w:lastRenderedPageBreak/>
        <w:t>lines), and the region of interest consisting of the central gray matter and white matter (the area encircled by a dashed line) was defined. The positive-stained areas in this region were measured. This method was used for Iba-1 staining. Scale bars: 100 µm.</w:t>
      </w:r>
    </w:p>
    <w:p w14:paraId="3893215E" w14:textId="77777777" w:rsidR="00742B12" w:rsidRPr="007A36D7" w:rsidRDefault="00742B12">
      <w:pPr>
        <w:spacing w:line="480" w:lineRule="auto"/>
        <w:jc w:val="left"/>
        <w:rPr>
          <w:rFonts w:ascii="Times New Roman" w:eastAsia="ArialMT" w:hAnsi="Times New Roman" w:cs="Times New Roman"/>
          <w:kern w:val="0"/>
        </w:rPr>
      </w:pPr>
      <w:bookmarkStart w:id="0" w:name="_GoBack"/>
      <w:bookmarkEnd w:id="0"/>
    </w:p>
    <w:p w14:paraId="7F73D408" w14:textId="77777777" w:rsidR="00742B12" w:rsidRPr="007A36D7" w:rsidRDefault="00EA0A8A">
      <w:pPr>
        <w:spacing w:line="480" w:lineRule="auto"/>
        <w:rPr>
          <w:rFonts w:ascii="Times New Roman" w:hAnsi="Times New Roman" w:cs="Times New Roman"/>
        </w:rPr>
      </w:pPr>
      <w:r w:rsidRPr="007A36D7">
        <w:rPr>
          <w:rFonts w:ascii="Times New Roman" w:eastAsia="ArialMT" w:hAnsi="Times New Roman" w:cs="Times New Roman" w:hint="eastAsia"/>
          <w:b/>
          <w:kern w:val="0"/>
        </w:rPr>
        <w:t>Table S1.</w:t>
      </w:r>
      <w:r w:rsidRPr="007A36D7">
        <w:rPr>
          <w:rFonts w:ascii="Times New Roman" w:eastAsia="ArialMT" w:hAnsi="Times New Roman" w:cs="Times New Roman" w:hint="eastAsia"/>
          <w:kern w:val="0"/>
        </w:rPr>
        <w:t xml:space="preserve"> </w:t>
      </w:r>
      <w:r w:rsidRPr="007A36D7">
        <w:rPr>
          <w:rFonts w:ascii="Times New Roman" w:eastAsia="ArialMT" w:hAnsi="Times New Roman" w:cs="Times New Roman"/>
          <w:kern w:val="0"/>
        </w:rPr>
        <w:t>Antibodies used in this study</w:t>
      </w:r>
    </w:p>
    <w:p w14:paraId="368D07D2" w14:textId="76C34EE0" w:rsidR="00742B12" w:rsidRDefault="00EA0A8A">
      <w:pPr>
        <w:spacing w:line="480" w:lineRule="auto"/>
        <w:rPr>
          <w:rFonts w:ascii="Times New Roman" w:hAnsi="Times New Roman" w:cs="Times New Roman"/>
        </w:rPr>
      </w:pPr>
      <w:r w:rsidRPr="007A36D7">
        <w:rPr>
          <w:rFonts w:ascii="Times New Roman" w:hAnsi="Times New Roman" w:cs="Times New Roman"/>
        </w:rPr>
        <w:t>A common buffer was used for each antibody (5% normal goat serum + 1% bovine serum albumin in 50 mM Tris buffer).</w:t>
      </w:r>
    </w:p>
    <w:p w14:paraId="63EA1D68" w14:textId="77777777" w:rsidR="00742B12" w:rsidRDefault="00742B12">
      <w:pPr>
        <w:spacing w:line="480" w:lineRule="auto"/>
        <w:rPr>
          <w:rFonts w:ascii="Times New Roman" w:hAnsi="Times New Roman" w:cs="Times New Roman"/>
        </w:rPr>
      </w:pPr>
    </w:p>
    <w:sectPr w:rsidR="00742B12" w:rsidSect="00A36EBE">
      <w:pgSz w:w="11906" w:h="16838"/>
      <w:pgMar w:top="1985" w:right="1701" w:bottom="1701" w:left="1701"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7771B" w16cex:dateUtc="2023-05-23T21:32:00Z"/>
  <w16cex:commentExtensible w16cex:durableId="2818CD2E" w16cex:dateUtc="2023-05-24T2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B94212" w16cid:durableId="2817771B"/>
  <w16cid:commentId w16cid:paraId="2AC84B07" w16cid:durableId="2818CD2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31FF0" w14:textId="77777777" w:rsidR="00D63298" w:rsidRDefault="00D63298">
      <w:r>
        <w:separator/>
      </w:r>
    </w:p>
  </w:endnote>
  <w:endnote w:type="continuationSeparator" w:id="0">
    <w:p w14:paraId="4B952F9C" w14:textId="77777777" w:rsidR="00D63298" w:rsidRDefault="00D63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MT">
    <w:altName w:val="メイリオ"/>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D465A" w14:textId="77777777" w:rsidR="00D63298" w:rsidRDefault="00D63298">
      <w:r>
        <w:separator/>
      </w:r>
    </w:p>
  </w:footnote>
  <w:footnote w:type="continuationSeparator" w:id="0">
    <w:p w14:paraId="385DF40A" w14:textId="77777777" w:rsidR="00D63298" w:rsidRDefault="00D632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B12"/>
    <w:rsid w:val="001634FF"/>
    <w:rsid w:val="00374A26"/>
    <w:rsid w:val="003E2661"/>
    <w:rsid w:val="005E3FE4"/>
    <w:rsid w:val="00742B12"/>
    <w:rsid w:val="007A36D7"/>
    <w:rsid w:val="0080391A"/>
    <w:rsid w:val="00A36EBE"/>
    <w:rsid w:val="00AC1A46"/>
    <w:rsid w:val="00B33C47"/>
    <w:rsid w:val="00C10A33"/>
    <w:rsid w:val="00C56116"/>
    <w:rsid w:val="00D63298"/>
    <w:rsid w:val="00DD74F0"/>
    <w:rsid w:val="00DF0257"/>
    <w:rsid w:val="00EA0A8A"/>
    <w:rsid w:val="00F96F9B"/>
    <w:rsid w:val="00FD3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086DE9"/>
  <w15:chartTrackingRefBased/>
  <w15:docId w15:val="{EA3E0F80-D097-4607-8EDE-E0308A2D4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style>
  <w:style w:type="table" w:styleId="a8">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Revision"/>
    <w:hidden/>
    <w:uiPriority w:val="99"/>
    <w:semiHidden/>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unhideWhenUsed/>
    <w:pPr>
      <w:jc w:val="left"/>
    </w:pPr>
  </w:style>
  <w:style w:type="character" w:customStyle="1" w:styleId="ac">
    <w:name w:val="コメント文字列 (文字)"/>
    <w:basedOn w:val="a0"/>
    <w:link w:val="ab"/>
    <w:uiPriority w:val="99"/>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b/>
      <w:bCs/>
    </w:rPr>
  </w:style>
  <w:style w:type="paragraph" w:styleId="af">
    <w:name w:val="Balloon Text"/>
    <w:basedOn w:val="a"/>
    <w:link w:val="af0"/>
    <w:uiPriority w:val="99"/>
    <w:semiHidden/>
    <w:unhideWhenUsed/>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Pr>
      <w:rFonts w:asciiTheme="majorHAnsi" w:eastAsiaTheme="majorEastAsia" w:hAnsiTheme="majorHAnsi" w:cstheme="majorBidi"/>
      <w:sz w:val="18"/>
      <w:szCs w:val="18"/>
    </w:rPr>
  </w:style>
  <w:style w:type="paragraph" w:styleId="af1">
    <w:name w:val="List Paragraph"/>
    <w:basedOn w:val="a"/>
    <w:uiPriority w:val="34"/>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1">
      <a:majorFont>
        <a:latin typeface="Times New Roman"/>
        <a:ea typeface="游ゴシック Light"/>
        <a:cs typeface=""/>
      </a:majorFont>
      <a:minorFont>
        <a:latin typeface="Times New Roman"/>
        <a:ea typeface="游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d571ce-5d5e-4577-851b-36fe2b87e29c" xsi:nil="true"/>
    <lcf76f155ced4ddcb4097134ff3c332f xmlns="7805362c-7fb7-47ff-9049-83b2c46e648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D935350FB4524AA9B0551AC744F54C" ma:contentTypeVersion="16" ma:contentTypeDescription="Create a new document." ma:contentTypeScope="" ma:versionID="c7647dc4f61d974680c113e1c24f69e0">
  <xsd:schema xmlns:xsd="http://www.w3.org/2001/XMLSchema" xmlns:xs="http://www.w3.org/2001/XMLSchema" xmlns:p="http://schemas.microsoft.com/office/2006/metadata/properties" xmlns:ns2="7805362c-7fb7-47ff-9049-83b2c46e6485" xmlns:ns3="22d571ce-5d5e-4577-851b-36fe2b87e29c" targetNamespace="http://schemas.microsoft.com/office/2006/metadata/properties" ma:root="true" ma:fieldsID="8f54a3a5efbb98fbff2bd6ceff36e3f6" ns2:_="" ns3:_="">
    <xsd:import namespace="7805362c-7fb7-47ff-9049-83b2c46e6485"/>
    <xsd:import namespace="22d571ce-5d5e-4577-851b-36fe2b87e29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05362c-7fb7-47ff-9049-83b2c46e64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6f95cfc-685b-4d9e-acc9-81b202a9d85d"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d571ce-5d5e-4577-851b-36fe2b87e29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d7e4307-db98-45a2-a7ea-4b20717fe51c}" ma:internalName="TaxCatchAll" ma:showField="CatchAllData" ma:web="22d571ce-5d5e-4577-851b-36fe2b87e2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625C6-7E00-4413-BD77-5101F9605F56}">
  <ds:schemaRefs>
    <ds:schemaRef ds:uri="http://schemas.microsoft.com/office/2006/metadata/properties"/>
    <ds:schemaRef ds:uri="http://schemas.microsoft.com/office/infopath/2007/PartnerControls"/>
    <ds:schemaRef ds:uri="22d571ce-5d5e-4577-851b-36fe2b87e29c"/>
    <ds:schemaRef ds:uri="7805362c-7fb7-47ff-9049-83b2c46e6485"/>
  </ds:schemaRefs>
</ds:datastoreItem>
</file>

<file path=customXml/itemProps2.xml><?xml version="1.0" encoding="utf-8"?>
<ds:datastoreItem xmlns:ds="http://schemas.openxmlformats.org/officeDocument/2006/customXml" ds:itemID="{7386D5ED-9EF6-43BD-BCA5-3950CC8BF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05362c-7fb7-47ff-9049-83b2c46e6485"/>
    <ds:schemaRef ds:uri="22d571ce-5d5e-4577-851b-36fe2b87e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ABACB5-AA7B-4D8D-AAC9-C0F315B04DA2}">
  <ds:schemaRefs>
    <ds:schemaRef ds:uri="http://schemas.microsoft.com/sharepoint/v3/contenttype/forms"/>
  </ds:schemaRefs>
</ds:datastoreItem>
</file>

<file path=customXml/itemProps4.xml><?xml version="1.0" encoding="utf-8"?>
<ds:datastoreItem xmlns:ds="http://schemas.openxmlformats.org/officeDocument/2006/customXml" ds:itemID="{DF139B8F-0A6F-4496-A3DB-7F64CA9FD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435</Words>
  <Characters>2486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永田 諭</dc:creator>
  <cp:keywords/>
  <dc:description/>
  <cp:lastModifiedBy>永田 諭</cp:lastModifiedBy>
  <cp:revision>10</cp:revision>
  <cp:lastPrinted>2023-06-09T05:09:00Z</cp:lastPrinted>
  <dcterms:created xsi:type="dcterms:W3CDTF">2023-05-25T10:24:00Z</dcterms:created>
  <dcterms:modified xsi:type="dcterms:W3CDTF">2023-06-09T05:15:00Z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0x010100A2D935350FB4524AA9B0551AC744F54C</vt:lpwstr>
  </property>
</Properties>
</file>